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BD" w:rsidRDefault="00B82FBD" w:rsidP="00B82FBD">
      <w:pPr>
        <w:pStyle w:val="2"/>
        <w:autoSpaceDE w:val="0"/>
        <w:autoSpaceDN w:val="0"/>
        <w:adjustRightInd w:val="0"/>
        <w:spacing w:line="480" w:lineRule="exact"/>
        <w:ind w:firstLineChars="200" w:firstLine="720"/>
        <w:jc w:val="center"/>
        <w:rPr>
          <w:rFonts w:ascii="楷体" w:eastAsia="楷体" w:hAnsi="楷体" w:cs="楷体"/>
          <w:sz w:val="36"/>
          <w:szCs w:val="36"/>
        </w:rPr>
      </w:pPr>
      <w:r>
        <w:rPr>
          <w:rFonts w:ascii="黑体" w:eastAsia="黑体" w:hAnsi="黑体" w:cs="黑体" w:hint="eastAsia"/>
          <w:sz w:val="36"/>
          <w:szCs w:val="36"/>
        </w:rPr>
        <w:t>俄特殊经济区发展情况</w:t>
      </w:r>
    </w:p>
    <w:p w:rsidR="00B82FBD" w:rsidRDefault="00B82FBD" w:rsidP="00B82FBD">
      <w:pPr>
        <w:pStyle w:val="2"/>
        <w:autoSpaceDE w:val="0"/>
        <w:autoSpaceDN w:val="0"/>
        <w:adjustRightInd w:val="0"/>
        <w:spacing w:line="56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为吸引本国和外商投资，促进经济多元化发展，俄罗斯在各州区设立经济特区、跨越式发展区和符拉迪沃斯托克自由港等实行特殊税制的园区，为入驻企业提供税费优惠、海关优惠、市政基础设施服务、行政监管便利等政策。</w:t>
      </w:r>
      <w:bookmarkStart w:id="0" w:name="_GoBack"/>
      <w:bookmarkEnd w:id="0"/>
    </w:p>
    <w:p w:rsidR="00B82FBD" w:rsidRDefault="00B82FBD" w:rsidP="00B82FBD">
      <w:pPr>
        <w:numPr>
          <w:ilvl w:val="0"/>
          <w:numId w:val="1"/>
        </w:numPr>
        <w:spacing w:line="560" w:lineRule="exact"/>
        <w:ind w:firstLineChars="200" w:firstLine="640"/>
        <w:rPr>
          <w:rFonts w:ascii="黑体" w:eastAsia="黑体" w:hAnsi="黑体"/>
          <w:bCs/>
          <w:sz w:val="32"/>
        </w:rPr>
      </w:pPr>
      <w:r>
        <w:rPr>
          <w:rFonts w:ascii="黑体" w:eastAsia="黑体" w:hAnsi="黑体" w:hint="eastAsia"/>
          <w:bCs/>
          <w:sz w:val="32"/>
        </w:rPr>
        <w:t>发展现状</w:t>
      </w:r>
    </w:p>
    <w:p w:rsidR="00B82FBD" w:rsidRDefault="00B82FBD" w:rsidP="00B82FBD">
      <w:pPr>
        <w:spacing w:line="560" w:lineRule="exact"/>
        <w:rPr>
          <w:rFonts w:ascii="楷体" w:eastAsia="楷体" w:hAnsi="楷体" w:cs="楷体"/>
          <w:bCs/>
          <w:sz w:val="32"/>
        </w:rPr>
      </w:pPr>
      <w:r>
        <w:rPr>
          <w:rFonts w:ascii="楷体" w:eastAsia="楷体" w:hAnsi="楷体" w:cs="楷体" w:hint="eastAsia"/>
          <w:bCs/>
          <w:sz w:val="32"/>
        </w:rPr>
        <w:t xml:space="preserve">    </w:t>
      </w:r>
      <w:r>
        <w:rPr>
          <w:rFonts w:ascii="楷体" w:eastAsia="楷体" w:hAnsi="楷体" w:cs="楷体" w:hint="eastAsia"/>
          <w:b/>
          <w:sz w:val="32"/>
        </w:rPr>
        <w:t>（一）经济特区</w:t>
      </w:r>
    </w:p>
    <w:p w:rsidR="00B82FBD" w:rsidRDefault="00B82FBD" w:rsidP="00B82FBD">
      <w:pPr>
        <w:pStyle w:val="2"/>
        <w:autoSpaceDE w:val="0"/>
        <w:autoSpaceDN w:val="0"/>
        <w:adjustRightInd w:val="0"/>
        <w:spacing w:line="56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俄最早于上世纪90年代开始设立自由经济区（</w:t>
      </w:r>
      <w:proofErr w:type="spellStart"/>
      <w:r>
        <w:rPr>
          <w:rFonts w:ascii="Times New Roman" w:eastAsia="仿宋" w:hAnsi="Times New Roman" w:cs="Times New Roman"/>
          <w:sz w:val="32"/>
          <w:szCs w:val="32"/>
        </w:rPr>
        <w:t>Свободная</w:t>
      </w:r>
      <w:proofErr w:type="spellEnd"/>
      <w:r>
        <w:rPr>
          <w:rFonts w:ascii="Times New Roman" w:eastAsia="仿宋" w:hAnsi="Times New Roman" w:cs="Times New Roman"/>
          <w:sz w:val="32"/>
          <w:szCs w:val="32"/>
        </w:rPr>
        <w:t xml:space="preserve"> </w:t>
      </w:r>
      <w:proofErr w:type="spellStart"/>
      <w:r>
        <w:rPr>
          <w:rFonts w:ascii="Times New Roman" w:eastAsia="仿宋" w:hAnsi="Times New Roman" w:cs="Times New Roman"/>
          <w:sz w:val="32"/>
          <w:szCs w:val="32"/>
        </w:rPr>
        <w:t>экономическая</w:t>
      </w:r>
      <w:proofErr w:type="spellEnd"/>
      <w:r>
        <w:rPr>
          <w:rFonts w:ascii="Times New Roman" w:eastAsia="仿宋" w:hAnsi="Times New Roman" w:cs="Times New Roman"/>
          <w:sz w:val="32"/>
          <w:szCs w:val="32"/>
        </w:rPr>
        <w:t xml:space="preserve"> </w:t>
      </w:r>
      <w:proofErr w:type="spellStart"/>
      <w:r>
        <w:rPr>
          <w:rFonts w:ascii="Times New Roman" w:eastAsia="仿宋" w:hAnsi="Times New Roman" w:cs="Times New Roman"/>
          <w:sz w:val="32"/>
          <w:szCs w:val="32"/>
        </w:rPr>
        <w:t>зона</w:t>
      </w:r>
      <w:proofErr w:type="spellEnd"/>
      <w:r>
        <w:rPr>
          <w:rFonts w:ascii="仿宋" w:eastAsia="仿宋" w:hAnsi="仿宋" w:cs="仿宋" w:hint="eastAsia"/>
          <w:sz w:val="32"/>
          <w:szCs w:val="32"/>
        </w:rPr>
        <w:t>），但因各种原因未能成功。2005年，俄正式颁布《经济特区法》，在此前自由经济区特殊税制的基础上，增加“一站式窗口”行政制度、政府出资保障基础设施等更多优惠政策，开启新一轮特区建设（</w:t>
      </w:r>
      <w:proofErr w:type="spellStart"/>
      <w:r>
        <w:rPr>
          <w:rFonts w:ascii="Times New Roman" w:eastAsia="仿宋" w:hAnsi="Times New Roman" w:cs="Times New Roman"/>
          <w:sz w:val="32"/>
          <w:szCs w:val="32"/>
        </w:rPr>
        <w:t>Особая</w:t>
      </w:r>
      <w:proofErr w:type="spellEnd"/>
      <w:r>
        <w:rPr>
          <w:rFonts w:ascii="Times New Roman" w:eastAsia="仿宋" w:hAnsi="Times New Roman" w:cs="Times New Roman"/>
          <w:sz w:val="32"/>
          <w:szCs w:val="32"/>
        </w:rPr>
        <w:t xml:space="preserve"> </w:t>
      </w:r>
      <w:proofErr w:type="spellStart"/>
      <w:r>
        <w:rPr>
          <w:rFonts w:ascii="Times New Roman" w:eastAsia="仿宋" w:hAnsi="Times New Roman" w:cs="Times New Roman"/>
          <w:sz w:val="32"/>
          <w:szCs w:val="32"/>
        </w:rPr>
        <w:t>экономическая</w:t>
      </w:r>
      <w:proofErr w:type="spellEnd"/>
      <w:r>
        <w:rPr>
          <w:rFonts w:ascii="Times New Roman" w:eastAsia="仿宋" w:hAnsi="Times New Roman" w:cs="Times New Roman"/>
          <w:sz w:val="32"/>
          <w:szCs w:val="32"/>
        </w:rPr>
        <w:t xml:space="preserve"> </w:t>
      </w:r>
      <w:proofErr w:type="spellStart"/>
      <w:r>
        <w:rPr>
          <w:rFonts w:ascii="Times New Roman" w:eastAsia="仿宋" w:hAnsi="Times New Roman" w:cs="Times New Roman"/>
          <w:sz w:val="32"/>
          <w:szCs w:val="32"/>
        </w:rPr>
        <w:t>зона</w:t>
      </w:r>
      <w:proofErr w:type="spellEnd"/>
      <w:r>
        <w:rPr>
          <w:rFonts w:ascii="仿宋" w:eastAsia="仿宋" w:hAnsi="仿宋" w:cs="仿宋" w:hint="eastAsia"/>
          <w:sz w:val="32"/>
          <w:szCs w:val="32"/>
        </w:rPr>
        <w:t>），以便发展制造业、高技术产业、旅游疗养业、港口和交通基础设施，加强技术研发并将研发成果商业化、促进新产品生产。目前，俄共</w:t>
      </w:r>
      <w:proofErr w:type="gramStart"/>
      <w:r>
        <w:rPr>
          <w:rFonts w:ascii="仿宋" w:eastAsia="仿宋" w:hAnsi="仿宋" w:cs="仿宋" w:hint="eastAsia"/>
          <w:sz w:val="32"/>
          <w:szCs w:val="32"/>
        </w:rPr>
        <w:t>设工业</w:t>
      </w:r>
      <w:proofErr w:type="gramEnd"/>
      <w:r>
        <w:rPr>
          <w:rFonts w:ascii="仿宋" w:eastAsia="仿宋" w:hAnsi="仿宋" w:cs="仿宋" w:hint="eastAsia"/>
          <w:sz w:val="32"/>
          <w:szCs w:val="32"/>
        </w:rPr>
        <w:t>生产型、技术研发型、旅游休闲型和港口型四类经济特区</w:t>
      </w:r>
      <w:r>
        <w:rPr>
          <w:rStyle w:val="a5"/>
          <w:rFonts w:ascii="仿宋" w:eastAsia="仿宋" w:hAnsi="仿宋" w:cs="仿宋" w:hint="eastAsia"/>
          <w:sz w:val="32"/>
          <w:szCs w:val="32"/>
        </w:rPr>
        <w:footnoteReference w:id="1"/>
      </w:r>
      <w:r>
        <w:rPr>
          <w:rFonts w:ascii="仿宋" w:eastAsia="仿宋" w:hAnsi="仿宋" w:cs="仿宋" w:hint="eastAsia"/>
          <w:sz w:val="32"/>
          <w:szCs w:val="32"/>
        </w:rPr>
        <w:t>。</w:t>
      </w:r>
    </w:p>
    <w:p w:rsidR="00B82FBD" w:rsidRDefault="00B82FBD" w:rsidP="00B82FBD">
      <w:pPr>
        <w:pStyle w:val="2"/>
        <w:numPr>
          <w:ilvl w:val="0"/>
          <w:numId w:val="2"/>
        </w:numPr>
        <w:autoSpaceDE w:val="0"/>
        <w:autoSpaceDN w:val="0"/>
        <w:adjustRightInd w:val="0"/>
        <w:spacing w:line="560" w:lineRule="exact"/>
        <w:ind w:firstLineChars="200" w:firstLine="643"/>
        <w:textAlignment w:val="baseline"/>
        <w:rPr>
          <w:rFonts w:ascii="仿宋" w:eastAsia="仿宋" w:hAnsi="仿宋" w:cs="仿宋"/>
          <w:sz w:val="32"/>
          <w:szCs w:val="32"/>
        </w:rPr>
      </w:pPr>
      <w:r>
        <w:rPr>
          <w:rFonts w:ascii="仿宋" w:eastAsia="仿宋" w:hAnsi="仿宋" w:cs="仿宋" w:hint="eastAsia"/>
          <w:b/>
          <w:bCs/>
          <w:sz w:val="32"/>
          <w:szCs w:val="32"/>
        </w:rPr>
        <w:t>分布情况</w:t>
      </w:r>
      <w:r>
        <w:rPr>
          <w:rFonts w:ascii="仿宋" w:eastAsia="仿宋" w:hAnsi="仿宋" w:cs="仿宋" w:hint="eastAsia"/>
          <w:sz w:val="32"/>
          <w:szCs w:val="32"/>
        </w:rPr>
        <w:t>。截至目前，俄境内共有36个经济特区，其中工业生产型17个，技术研发型7个，旅游休闲型10个、港口型2个。主要分布在俄西部和南部地区。工业生产型经济特区位于俄经济最发达的地区，特点是工业企业占主导地位，拥有完善的交通基础设施，丰富的自然资源和熟练的劳动力；技术研发型经济特区位于</w:t>
      </w:r>
      <w:proofErr w:type="gramStart"/>
      <w:r>
        <w:rPr>
          <w:rFonts w:ascii="仿宋" w:eastAsia="仿宋" w:hAnsi="仿宋" w:cs="仿宋" w:hint="eastAsia"/>
          <w:sz w:val="32"/>
          <w:szCs w:val="32"/>
        </w:rPr>
        <w:t>俄科学</w:t>
      </w:r>
      <w:proofErr w:type="gramEnd"/>
      <w:r>
        <w:rPr>
          <w:rFonts w:ascii="仿宋" w:eastAsia="仿宋" w:hAnsi="仿宋" w:cs="仿宋" w:hint="eastAsia"/>
          <w:sz w:val="32"/>
          <w:szCs w:val="32"/>
        </w:rPr>
        <w:t>教育发达地区，一般周边有</w:t>
      </w:r>
      <w:r>
        <w:rPr>
          <w:rFonts w:ascii="仿宋" w:eastAsia="仿宋" w:hAnsi="仿宋" w:cs="仿宋" w:hint="eastAsia"/>
          <w:sz w:val="32"/>
          <w:szCs w:val="32"/>
        </w:rPr>
        <w:lastRenderedPageBreak/>
        <w:t>实力较强的研究型院校；旅游休闲型经济特区主要位于高加索地区，以及阿尔泰边疆区、伊尔库茨克州、布里亚特共和国等西伯利亚和远东地区，上述地区旅游资源丰富，急需大力开发；港口型经济特区位于乌里扬诺夫斯克州和阿斯特拉罕州。详见下图（图片中未包含2020年11月批准建设的阿斯特拉罕州港口型经济特区）。</w:t>
      </w:r>
    </w:p>
    <w:p w:rsidR="00B82FBD" w:rsidRDefault="00B82FBD" w:rsidP="00B82FBD">
      <w:pPr>
        <w:pStyle w:val="2"/>
        <w:autoSpaceDE w:val="0"/>
        <w:autoSpaceDN w:val="0"/>
        <w:adjustRightInd w:val="0"/>
        <w:ind w:leftChars="200" w:left="420" w:firstLine="0"/>
        <w:textAlignment w:val="baseline"/>
        <w:rPr>
          <w:rFonts w:ascii="仿宋" w:eastAsia="仿宋" w:hAnsi="仿宋" w:cs="仿宋"/>
          <w:sz w:val="32"/>
          <w:szCs w:val="32"/>
        </w:rPr>
      </w:pPr>
      <w:r>
        <w:rPr>
          <w:rFonts w:ascii="仿宋" w:eastAsia="仿宋" w:hAnsi="仿宋" w:cs="仿宋"/>
          <w:noProof/>
          <w:sz w:val="32"/>
          <w:szCs w:val="32"/>
        </w:rPr>
        <w:drawing>
          <wp:inline distT="0" distB="0" distL="0" distR="0">
            <wp:extent cx="5114290" cy="2987675"/>
            <wp:effectExtent l="0" t="0" r="0" b="317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图片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290" cy="2987675"/>
                    </a:xfrm>
                    <a:prstGeom prst="rect">
                      <a:avLst/>
                    </a:prstGeom>
                    <a:noFill/>
                    <a:ln>
                      <a:noFill/>
                    </a:ln>
                  </pic:spPr>
                </pic:pic>
              </a:graphicData>
            </a:graphic>
          </wp:inline>
        </w:drawing>
      </w:r>
    </w:p>
    <w:p w:rsidR="00B82FBD" w:rsidRDefault="00B82FBD" w:rsidP="00B82FBD">
      <w:pPr>
        <w:widowControl/>
        <w:spacing w:line="560" w:lineRule="exact"/>
        <w:outlineLvl w:val="0"/>
        <w:rPr>
          <w:rFonts w:ascii="仿宋" w:eastAsia="仿宋" w:hAnsi="仿宋" w:cs="仿宋"/>
          <w:sz w:val="32"/>
          <w:szCs w:val="32"/>
        </w:rPr>
      </w:pPr>
      <w:r>
        <w:rPr>
          <w:rFonts w:ascii="仿宋" w:eastAsia="仿宋" w:hAnsi="仿宋" w:cs="仿宋" w:hint="eastAsia"/>
          <w:b/>
          <w:bCs/>
          <w:sz w:val="32"/>
          <w:szCs w:val="32"/>
        </w:rPr>
        <w:t xml:space="preserve">    2.企业入驻情况。</w:t>
      </w:r>
      <w:r>
        <w:rPr>
          <w:rFonts w:ascii="仿宋" w:eastAsia="仿宋" w:hAnsi="仿宋" w:cs="仿宋" w:hint="eastAsia"/>
          <w:sz w:val="32"/>
          <w:szCs w:val="32"/>
        </w:rPr>
        <w:t>截至目前，</w:t>
      </w:r>
      <w:r>
        <w:rPr>
          <w:rFonts w:ascii="Times New Roman Regular" w:eastAsia="仿宋" w:hAnsi="Times New Roman Regular" w:cs="Times New Roman Regular"/>
          <w:kern w:val="0"/>
          <w:sz w:val="32"/>
          <w:szCs w:val="32"/>
        </w:rPr>
        <w:t>已</w:t>
      </w:r>
      <w:r>
        <w:rPr>
          <w:rFonts w:ascii="Times New Roman Regular" w:eastAsia="仿宋" w:hAnsi="Times New Roman Regular" w:cs="Times New Roman Regular" w:hint="eastAsia"/>
          <w:kern w:val="0"/>
          <w:sz w:val="32"/>
          <w:szCs w:val="32"/>
        </w:rPr>
        <w:t>入驻</w:t>
      </w:r>
      <w:r>
        <w:rPr>
          <w:rFonts w:ascii="Times New Roman Regular" w:eastAsia="仿宋" w:hAnsi="Times New Roman Regular" w:cs="Times New Roman Regular"/>
          <w:kern w:val="0"/>
          <w:sz w:val="32"/>
          <w:szCs w:val="32"/>
        </w:rPr>
        <w:t>830</w:t>
      </w:r>
      <w:r>
        <w:rPr>
          <w:rFonts w:ascii="Times New Roman Regular" w:eastAsia="仿宋" w:hAnsi="Times New Roman Regular" w:cs="Times New Roman Regular"/>
          <w:kern w:val="0"/>
          <w:sz w:val="32"/>
          <w:szCs w:val="32"/>
        </w:rPr>
        <w:t>多</w:t>
      </w:r>
      <w:r>
        <w:rPr>
          <w:rFonts w:ascii="Times New Roman Regular" w:eastAsia="仿宋" w:hAnsi="Times New Roman Regular" w:cs="Times New Roman Regular" w:hint="eastAsia"/>
          <w:kern w:val="0"/>
          <w:sz w:val="32"/>
          <w:szCs w:val="32"/>
        </w:rPr>
        <w:t>家企业</w:t>
      </w:r>
      <w:r>
        <w:rPr>
          <w:rFonts w:ascii="Times New Roman Regular" w:eastAsia="仿宋" w:hAnsi="Times New Roman Regular" w:cs="Times New Roman Regular"/>
          <w:kern w:val="0"/>
          <w:sz w:val="32"/>
          <w:szCs w:val="32"/>
        </w:rPr>
        <w:t>，其中</w:t>
      </w:r>
      <w:r>
        <w:rPr>
          <w:rFonts w:ascii="Times New Roman Regular" w:eastAsia="仿宋" w:hAnsi="Times New Roman Regular" w:cs="Times New Roman Regular" w:hint="eastAsia"/>
          <w:kern w:val="0"/>
          <w:sz w:val="32"/>
          <w:szCs w:val="32"/>
        </w:rPr>
        <w:t>包括</w:t>
      </w:r>
      <w:r>
        <w:rPr>
          <w:rFonts w:ascii="Times New Roman Regular" w:eastAsia="仿宋" w:hAnsi="Times New Roman Regular" w:cs="Times New Roman Regular"/>
          <w:kern w:val="0"/>
          <w:sz w:val="32"/>
          <w:szCs w:val="32"/>
        </w:rPr>
        <w:t>146</w:t>
      </w:r>
      <w:r>
        <w:rPr>
          <w:rFonts w:ascii="Times New Roman Regular" w:eastAsia="仿宋" w:hAnsi="Times New Roman Regular" w:cs="Times New Roman Regular"/>
          <w:kern w:val="0"/>
          <w:sz w:val="32"/>
          <w:szCs w:val="32"/>
        </w:rPr>
        <w:t>家</w:t>
      </w:r>
      <w:r>
        <w:rPr>
          <w:rFonts w:ascii="Times New Roman Regular" w:eastAsia="仿宋" w:hAnsi="Times New Roman Regular" w:cs="Times New Roman Regular" w:hint="eastAsia"/>
          <w:kern w:val="0"/>
          <w:sz w:val="32"/>
          <w:szCs w:val="32"/>
        </w:rPr>
        <w:t>有</w:t>
      </w:r>
      <w:r>
        <w:rPr>
          <w:rFonts w:ascii="Times New Roman Regular" w:eastAsia="仿宋" w:hAnsi="Times New Roman Regular" w:cs="Times New Roman Regular"/>
          <w:kern w:val="0"/>
          <w:sz w:val="32"/>
          <w:szCs w:val="32"/>
        </w:rPr>
        <w:t>外资</w:t>
      </w:r>
      <w:r>
        <w:rPr>
          <w:rFonts w:ascii="Times New Roman Regular" w:eastAsia="仿宋" w:hAnsi="Times New Roman Regular" w:cs="Times New Roman Regular" w:hint="eastAsia"/>
          <w:kern w:val="0"/>
          <w:sz w:val="32"/>
          <w:szCs w:val="32"/>
        </w:rPr>
        <w:t>成分的公司</w:t>
      </w:r>
      <w:r>
        <w:rPr>
          <w:rFonts w:ascii="Times New Roman Regular" w:eastAsia="仿宋" w:hAnsi="Times New Roman Regular" w:cs="Times New Roman Regular"/>
          <w:kern w:val="0"/>
          <w:sz w:val="32"/>
          <w:szCs w:val="32"/>
        </w:rPr>
        <w:t>，</w:t>
      </w:r>
      <w:r>
        <w:rPr>
          <w:rFonts w:ascii="Times New Roman Regular" w:eastAsia="仿宋" w:hAnsi="Times New Roman Regular" w:cs="Times New Roman Regular" w:hint="eastAsia"/>
          <w:kern w:val="0"/>
          <w:sz w:val="32"/>
          <w:szCs w:val="32"/>
        </w:rPr>
        <w:t>协议</w:t>
      </w:r>
      <w:r>
        <w:rPr>
          <w:rFonts w:ascii="Times New Roman Regular" w:eastAsia="仿宋" w:hAnsi="Times New Roman Regular" w:cs="Times New Roman Regular"/>
          <w:kern w:val="0"/>
          <w:sz w:val="32"/>
          <w:szCs w:val="32"/>
        </w:rPr>
        <w:t>投资额超过</w:t>
      </w:r>
      <w:r>
        <w:rPr>
          <w:rFonts w:ascii="Times New Roman Regular" w:eastAsia="仿宋" w:hAnsi="Times New Roman Regular" w:cs="Times New Roman Regular"/>
          <w:kern w:val="0"/>
          <w:sz w:val="32"/>
          <w:szCs w:val="32"/>
        </w:rPr>
        <w:t>1</w:t>
      </w:r>
      <w:proofErr w:type="gramStart"/>
      <w:r>
        <w:rPr>
          <w:rFonts w:ascii="Times New Roman Regular" w:eastAsia="仿宋" w:hAnsi="Times New Roman Regular" w:cs="Times New Roman Regular"/>
          <w:kern w:val="0"/>
          <w:sz w:val="32"/>
          <w:szCs w:val="32"/>
        </w:rPr>
        <w:t>万亿</w:t>
      </w:r>
      <w:proofErr w:type="gramEnd"/>
      <w:r>
        <w:rPr>
          <w:rFonts w:ascii="Times New Roman Regular" w:eastAsia="仿宋" w:hAnsi="Times New Roman Regular" w:cs="Times New Roman Regular"/>
          <w:kern w:val="0"/>
          <w:sz w:val="32"/>
          <w:szCs w:val="32"/>
        </w:rPr>
        <w:t>卢布</w:t>
      </w:r>
      <w:r>
        <w:rPr>
          <w:rFonts w:ascii="Times New Roman Regular" w:eastAsia="仿宋" w:hAnsi="Times New Roman Regular" w:cs="Times New Roman Regular" w:hint="eastAsia"/>
          <w:kern w:val="0"/>
          <w:sz w:val="32"/>
          <w:szCs w:val="32"/>
        </w:rPr>
        <w:t>（约合</w:t>
      </w:r>
      <w:r>
        <w:rPr>
          <w:rFonts w:ascii="Times New Roman Regular" w:eastAsia="仿宋" w:hAnsi="Times New Roman Regular" w:cs="Times New Roman Regular" w:hint="eastAsia"/>
          <w:kern w:val="0"/>
          <w:sz w:val="32"/>
          <w:szCs w:val="32"/>
        </w:rPr>
        <w:t>125</w:t>
      </w:r>
      <w:r>
        <w:rPr>
          <w:rFonts w:ascii="Times New Roman Regular" w:eastAsia="仿宋" w:hAnsi="Times New Roman Regular" w:cs="Times New Roman Regular" w:hint="eastAsia"/>
          <w:kern w:val="0"/>
          <w:sz w:val="32"/>
          <w:szCs w:val="32"/>
        </w:rPr>
        <w:t>亿美元）</w:t>
      </w:r>
      <w:r>
        <w:rPr>
          <w:rFonts w:ascii="Times New Roman Regular" w:eastAsia="仿宋" w:hAnsi="Times New Roman Regular" w:cs="Times New Roman Regular"/>
          <w:kern w:val="0"/>
          <w:sz w:val="32"/>
          <w:szCs w:val="32"/>
        </w:rPr>
        <w:t>，</w:t>
      </w:r>
      <w:r>
        <w:rPr>
          <w:rFonts w:ascii="Times New Roman Regular" w:eastAsia="仿宋" w:hAnsi="Times New Roman Regular" w:cs="Times New Roman Regular" w:hint="eastAsia"/>
          <w:kern w:val="0"/>
          <w:sz w:val="32"/>
          <w:szCs w:val="32"/>
        </w:rPr>
        <w:t>实际</w:t>
      </w:r>
      <w:r>
        <w:rPr>
          <w:rFonts w:ascii="Times New Roman Regular" w:eastAsia="仿宋" w:hAnsi="Times New Roman Regular" w:cs="Times New Roman Regular"/>
          <w:kern w:val="0"/>
          <w:sz w:val="32"/>
          <w:szCs w:val="32"/>
        </w:rPr>
        <w:t>投资额超过</w:t>
      </w:r>
      <w:r>
        <w:rPr>
          <w:rFonts w:ascii="Times New Roman Regular" w:eastAsia="仿宋" w:hAnsi="Times New Roman Regular" w:cs="Times New Roman Regular"/>
          <w:kern w:val="0"/>
          <w:sz w:val="32"/>
          <w:szCs w:val="32"/>
        </w:rPr>
        <w:t>4450</w:t>
      </w:r>
      <w:r>
        <w:rPr>
          <w:rFonts w:ascii="Times New Roman Regular" w:eastAsia="仿宋" w:hAnsi="Times New Roman Regular" w:cs="Times New Roman Regular"/>
          <w:kern w:val="0"/>
          <w:sz w:val="32"/>
          <w:szCs w:val="32"/>
        </w:rPr>
        <w:t>亿卢布，创造工作岗位</w:t>
      </w:r>
      <w:r>
        <w:rPr>
          <w:rFonts w:ascii="Times New Roman Regular" w:eastAsia="仿宋" w:hAnsi="Times New Roman Regular" w:cs="Times New Roman Regular"/>
          <w:kern w:val="0"/>
          <w:sz w:val="32"/>
          <w:szCs w:val="32"/>
        </w:rPr>
        <w:t>4.2</w:t>
      </w:r>
      <w:r>
        <w:rPr>
          <w:rFonts w:ascii="Times New Roman Regular" w:eastAsia="仿宋" w:hAnsi="Times New Roman Regular" w:cs="Times New Roman Regular" w:hint="eastAsia"/>
          <w:kern w:val="0"/>
          <w:sz w:val="32"/>
          <w:szCs w:val="32"/>
        </w:rPr>
        <w:t>万余</w:t>
      </w:r>
      <w:r>
        <w:rPr>
          <w:rFonts w:ascii="Times New Roman Regular" w:eastAsia="仿宋" w:hAnsi="Times New Roman Regular" w:cs="Times New Roman Regular"/>
          <w:kern w:val="0"/>
          <w:sz w:val="32"/>
          <w:szCs w:val="32"/>
        </w:rPr>
        <w:t>个，</w:t>
      </w:r>
      <w:r>
        <w:rPr>
          <w:rFonts w:ascii="Times New Roman Regular" w:eastAsia="仿宋" w:hAnsi="Times New Roman Regular" w:cs="Times New Roman Regular" w:hint="eastAsia"/>
          <w:kern w:val="0"/>
          <w:sz w:val="32"/>
          <w:szCs w:val="32"/>
        </w:rPr>
        <w:t>缴纳</w:t>
      </w:r>
      <w:r>
        <w:rPr>
          <w:rFonts w:ascii="Times New Roman Regular" w:eastAsia="仿宋" w:hAnsi="Times New Roman Regular" w:cs="Times New Roman Regular"/>
          <w:kern w:val="0"/>
          <w:sz w:val="32"/>
          <w:szCs w:val="32"/>
        </w:rPr>
        <w:t>约</w:t>
      </w:r>
      <w:r>
        <w:rPr>
          <w:rFonts w:ascii="Times New Roman Regular" w:eastAsia="仿宋" w:hAnsi="Times New Roman Regular" w:cs="Times New Roman Regular"/>
          <w:kern w:val="0"/>
          <w:sz w:val="32"/>
          <w:szCs w:val="32"/>
        </w:rPr>
        <w:t>1000</w:t>
      </w:r>
      <w:r>
        <w:rPr>
          <w:rFonts w:ascii="Times New Roman Regular" w:eastAsia="仿宋" w:hAnsi="Times New Roman Regular" w:cs="Times New Roman Regular"/>
          <w:kern w:val="0"/>
          <w:sz w:val="32"/>
          <w:szCs w:val="32"/>
        </w:rPr>
        <w:t>亿卢布</w:t>
      </w:r>
      <w:r>
        <w:rPr>
          <w:rFonts w:ascii="Times New Roman Regular" w:eastAsia="仿宋" w:hAnsi="Times New Roman Regular" w:cs="Times New Roman Regular" w:hint="eastAsia"/>
          <w:kern w:val="0"/>
          <w:sz w:val="32"/>
          <w:szCs w:val="32"/>
        </w:rPr>
        <w:t>税费</w:t>
      </w:r>
      <w:r>
        <w:rPr>
          <w:rFonts w:ascii="仿宋" w:eastAsia="仿宋" w:hAnsi="仿宋" w:cs="仿宋" w:hint="eastAsia"/>
          <w:sz w:val="32"/>
          <w:szCs w:val="32"/>
        </w:rPr>
        <w:t>。主要外资来源国为中国（965亿卢布）、美国（636亿卢布）、土耳其（407亿卢布）、日本（335亿卢布）、奥地利（205亿卢布）、德国（168亿卢布）、法国（75亿卢布）和越南（74亿卢布）。区内入驻企业有波音、3M、霍尼韦尔等跨国巨头，但主要为中小企业，占比达到70%。详见下表。</w:t>
      </w:r>
    </w:p>
    <w:p w:rsidR="00B82FBD" w:rsidRDefault="00B82FBD" w:rsidP="00B82FBD">
      <w:pPr>
        <w:pStyle w:val="2"/>
        <w:autoSpaceDE w:val="0"/>
        <w:autoSpaceDN w:val="0"/>
        <w:adjustRightInd w:val="0"/>
        <w:ind w:firstLineChars="200" w:firstLine="640"/>
        <w:jc w:val="center"/>
        <w:textAlignment w:val="baseline"/>
        <w:rPr>
          <w:rFonts w:ascii="仿宋" w:eastAsia="仿宋" w:hAnsi="仿宋" w:cs="仿宋"/>
          <w:sz w:val="32"/>
          <w:szCs w:val="32"/>
        </w:rPr>
      </w:pPr>
      <w:r>
        <w:rPr>
          <w:rFonts w:ascii="黑体" w:eastAsia="黑体" w:hAnsi="黑体" w:cs="黑体" w:hint="eastAsia"/>
          <w:sz w:val="32"/>
          <w:szCs w:val="32"/>
        </w:rPr>
        <w:t xml:space="preserve">      俄各类经济特区发展情况（截至2020年1月1日）</w:t>
      </w:r>
    </w:p>
    <w:tbl>
      <w:tblPr>
        <w:tblStyle w:val="a6"/>
        <w:tblpPr w:leftFromText="180" w:rightFromText="180" w:vertAnchor="text" w:horzAnchor="page" w:tblpX="858" w:tblpY="85"/>
        <w:tblOverlap w:val="never"/>
        <w:tblW w:w="10369" w:type="dxa"/>
        <w:tblLayout w:type="fixed"/>
        <w:tblLook w:val="04A0" w:firstRow="1" w:lastRow="0" w:firstColumn="1" w:lastColumn="0" w:noHBand="0" w:noVBand="1"/>
      </w:tblPr>
      <w:tblGrid>
        <w:gridCol w:w="2000"/>
        <w:gridCol w:w="1427"/>
        <w:gridCol w:w="1975"/>
        <w:gridCol w:w="1631"/>
        <w:gridCol w:w="1681"/>
        <w:gridCol w:w="1655"/>
      </w:tblGrid>
      <w:tr w:rsidR="00B82FBD" w:rsidTr="00610A0E">
        <w:tc>
          <w:tcPr>
            <w:tcW w:w="2000" w:type="dxa"/>
          </w:tcPr>
          <w:p w:rsidR="00B82FBD" w:rsidRDefault="00B82FBD" w:rsidP="00610A0E">
            <w:pPr>
              <w:pStyle w:val="2"/>
              <w:autoSpaceDE w:val="0"/>
              <w:autoSpaceDN w:val="0"/>
              <w:adjustRightInd w:val="0"/>
              <w:spacing w:line="440" w:lineRule="exact"/>
              <w:ind w:firstLine="0"/>
              <w:jc w:val="center"/>
              <w:textAlignment w:val="baseline"/>
              <w:rPr>
                <w:rFonts w:ascii="黑体" w:eastAsia="黑体" w:hAnsi="黑体" w:cs="黑体"/>
                <w:sz w:val="28"/>
                <w:szCs w:val="28"/>
              </w:rPr>
            </w:pPr>
            <w:r>
              <w:rPr>
                <w:rFonts w:ascii="黑体" w:eastAsia="黑体" w:hAnsi="黑体" w:cs="黑体" w:hint="eastAsia"/>
                <w:sz w:val="28"/>
                <w:szCs w:val="28"/>
              </w:rPr>
              <w:lastRenderedPageBreak/>
              <w:t>经济特区类别</w:t>
            </w:r>
          </w:p>
        </w:tc>
        <w:tc>
          <w:tcPr>
            <w:tcW w:w="1427" w:type="dxa"/>
          </w:tcPr>
          <w:p w:rsidR="00B82FBD" w:rsidRDefault="00B82FBD" w:rsidP="00610A0E">
            <w:pPr>
              <w:pStyle w:val="2"/>
              <w:autoSpaceDE w:val="0"/>
              <w:autoSpaceDN w:val="0"/>
              <w:adjustRightInd w:val="0"/>
              <w:spacing w:line="440" w:lineRule="exact"/>
              <w:ind w:firstLine="0"/>
              <w:jc w:val="center"/>
              <w:textAlignment w:val="baseline"/>
              <w:rPr>
                <w:rFonts w:ascii="黑体" w:eastAsia="黑体" w:hAnsi="黑体" w:cs="黑体"/>
                <w:sz w:val="28"/>
                <w:szCs w:val="28"/>
              </w:rPr>
            </w:pPr>
            <w:r>
              <w:rPr>
                <w:rFonts w:ascii="黑体" w:eastAsia="黑体" w:hAnsi="黑体" w:cs="黑体" w:hint="eastAsia"/>
                <w:sz w:val="28"/>
                <w:szCs w:val="28"/>
              </w:rPr>
              <w:t>入驻企业（家）</w:t>
            </w:r>
          </w:p>
        </w:tc>
        <w:tc>
          <w:tcPr>
            <w:tcW w:w="1975" w:type="dxa"/>
          </w:tcPr>
          <w:p w:rsidR="00B82FBD" w:rsidRDefault="00B82FBD" w:rsidP="00610A0E">
            <w:pPr>
              <w:pStyle w:val="2"/>
              <w:autoSpaceDE w:val="0"/>
              <w:autoSpaceDN w:val="0"/>
              <w:adjustRightInd w:val="0"/>
              <w:spacing w:line="440" w:lineRule="exact"/>
              <w:ind w:firstLine="0"/>
              <w:jc w:val="center"/>
              <w:textAlignment w:val="baseline"/>
              <w:rPr>
                <w:rFonts w:ascii="黑体" w:eastAsia="黑体" w:hAnsi="黑体" w:cs="黑体"/>
                <w:sz w:val="28"/>
                <w:szCs w:val="28"/>
              </w:rPr>
            </w:pPr>
            <w:r>
              <w:rPr>
                <w:rFonts w:ascii="黑体" w:eastAsia="黑体" w:hAnsi="黑体" w:cs="黑体" w:hint="eastAsia"/>
                <w:sz w:val="28"/>
                <w:szCs w:val="28"/>
              </w:rPr>
              <w:t>创造工作岗位（万个）</w:t>
            </w:r>
          </w:p>
        </w:tc>
        <w:tc>
          <w:tcPr>
            <w:tcW w:w="1631" w:type="dxa"/>
          </w:tcPr>
          <w:p w:rsidR="00B82FBD" w:rsidRDefault="00B82FBD" w:rsidP="00610A0E">
            <w:pPr>
              <w:pStyle w:val="2"/>
              <w:autoSpaceDE w:val="0"/>
              <w:autoSpaceDN w:val="0"/>
              <w:adjustRightInd w:val="0"/>
              <w:spacing w:line="440" w:lineRule="exact"/>
              <w:ind w:firstLine="0"/>
              <w:jc w:val="center"/>
              <w:textAlignment w:val="baseline"/>
              <w:rPr>
                <w:rFonts w:ascii="黑体" w:eastAsia="黑体" w:hAnsi="黑体" w:cs="黑体"/>
                <w:sz w:val="28"/>
                <w:szCs w:val="28"/>
              </w:rPr>
            </w:pPr>
            <w:r>
              <w:rPr>
                <w:rFonts w:ascii="黑体" w:eastAsia="黑体" w:hAnsi="黑体" w:cs="黑体" w:hint="eastAsia"/>
                <w:sz w:val="28"/>
                <w:szCs w:val="28"/>
              </w:rPr>
              <w:t>累计投资（亿卢布）</w:t>
            </w:r>
          </w:p>
        </w:tc>
        <w:tc>
          <w:tcPr>
            <w:tcW w:w="1681" w:type="dxa"/>
          </w:tcPr>
          <w:p w:rsidR="00B82FBD" w:rsidRDefault="00B82FBD" w:rsidP="00610A0E">
            <w:pPr>
              <w:pStyle w:val="2"/>
              <w:autoSpaceDE w:val="0"/>
              <w:autoSpaceDN w:val="0"/>
              <w:adjustRightInd w:val="0"/>
              <w:spacing w:line="440" w:lineRule="exact"/>
              <w:ind w:firstLine="0"/>
              <w:jc w:val="center"/>
              <w:textAlignment w:val="baseline"/>
              <w:rPr>
                <w:rFonts w:ascii="黑体" w:eastAsia="黑体" w:hAnsi="黑体" w:cs="黑体"/>
                <w:sz w:val="28"/>
                <w:szCs w:val="28"/>
              </w:rPr>
            </w:pPr>
            <w:r>
              <w:rPr>
                <w:rFonts w:ascii="黑体" w:eastAsia="黑体" w:hAnsi="黑体" w:cs="黑体" w:hint="eastAsia"/>
                <w:sz w:val="28"/>
                <w:szCs w:val="28"/>
              </w:rPr>
              <w:t>实现营业额（亿卢布）</w:t>
            </w:r>
          </w:p>
        </w:tc>
        <w:tc>
          <w:tcPr>
            <w:tcW w:w="1655" w:type="dxa"/>
          </w:tcPr>
          <w:p w:rsidR="00B82FBD" w:rsidRDefault="00B82FBD" w:rsidP="00610A0E">
            <w:pPr>
              <w:pStyle w:val="2"/>
              <w:autoSpaceDE w:val="0"/>
              <w:autoSpaceDN w:val="0"/>
              <w:adjustRightInd w:val="0"/>
              <w:spacing w:line="440" w:lineRule="exact"/>
              <w:ind w:firstLine="0"/>
              <w:jc w:val="center"/>
              <w:textAlignment w:val="baseline"/>
              <w:rPr>
                <w:rFonts w:ascii="黑体" w:eastAsia="黑体" w:hAnsi="黑体" w:cs="黑体"/>
                <w:sz w:val="28"/>
                <w:szCs w:val="28"/>
              </w:rPr>
            </w:pPr>
            <w:r>
              <w:rPr>
                <w:rFonts w:ascii="黑体" w:eastAsia="黑体" w:hAnsi="黑体" w:cs="黑体" w:hint="eastAsia"/>
                <w:sz w:val="28"/>
                <w:szCs w:val="28"/>
              </w:rPr>
              <w:t>缴纳税费（亿卢布）</w:t>
            </w:r>
          </w:p>
        </w:tc>
      </w:tr>
      <w:tr w:rsidR="00B82FBD" w:rsidTr="00610A0E">
        <w:tc>
          <w:tcPr>
            <w:tcW w:w="2000"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工业生产型</w:t>
            </w:r>
          </w:p>
        </w:tc>
        <w:tc>
          <w:tcPr>
            <w:tcW w:w="1427"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254</w:t>
            </w:r>
          </w:p>
        </w:tc>
        <w:tc>
          <w:tcPr>
            <w:tcW w:w="1975"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1.8</w:t>
            </w:r>
          </w:p>
        </w:tc>
        <w:tc>
          <w:tcPr>
            <w:tcW w:w="1631"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2731</w:t>
            </w:r>
          </w:p>
        </w:tc>
        <w:tc>
          <w:tcPr>
            <w:tcW w:w="1681"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5766</w:t>
            </w:r>
          </w:p>
        </w:tc>
        <w:tc>
          <w:tcPr>
            <w:tcW w:w="1655"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621</w:t>
            </w:r>
          </w:p>
        </w:tc>
      </w:tr>
      <w:tr w:rsidR="00B82FBD" w:rsidTr="00610A0E">
        <w:tc>
          <w:tcPr>
            <w:tcW w:w="2000"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技术研发型</w:t>
            </w:r>
          </w:p>
        </w:tc>
        <w:tc>
          <w:tcPr>
            <w:tcW w:w="1427"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454</w:t>
            </w:r>
          </w:p>
        </w:tc>
        <w:tc>
          <w:tcPr>
            <w:tcW w:w="1975"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1.88</w:t>
            </w:r>
          </w:p>
        </w:tc>
        <w:tc>
          <w:tcPr>
            <w:tcW w:w="1631"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1697</w:t>
            </w:r>
          </w:p>
        </w:tc>
        <w:tc>
          <w:tcPr>
            <w:tcW w:w="1681"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2565</w:t>
            </w:r>
          </w:p>
        </w:tc>
        <w:tc>
          <w:tcPr>
            <w:tcW w:w="1655"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457</w:t>
            </w:r>
          </w:p>
        </w:tc>
      </w:tr>
      <w:tr w:rsidR="00B82FBD" w:rsidTr="00610A0E">
        <w:tc>
          <w:tcPr>
            <w:tcW w:w="2000"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旅游休闲型</w:t>
            </w:r>
          </w:p>
        </w:tc>
        <w:tc>
          <w:tcPr>
            <w:tcW w:w="1427"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37</w:t>
            </w:r>
          </w:p>
        </w:tc>
        <w:tc>
          <w:tcPr>
            <w:tcW w:w="1975"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985（</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w:t>
            </w:r>
          </w:p>
        </w:tc>
        <w:tc>
          <w:tcPr>
            <w:tcW w:w="1631"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46</w:t>
            </w:r>
          </w:p>
        </w:tc>
        <w:tc>
          <w:tcPr>
            <w:tcW w:w="1681"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11</w:t>
            </w:r>
          </w:p>
        </w:tc>
        <w:tc>
          <w:tcPr>
            <w:tcW w:w="1655"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19</w:t>
            </w:r>
          </w:p>
        </w:tc>
      </w:tr>
      <w:tr w:rsidR="00B82FBD" w:rsidTr="00610A0E">
        <w:tc>
          <w:tcPr>
            <w:tcW w:w="2000"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港口型</w:t>
            </w:r>
          </w:p>
        </w:tc>
        <w:tc>
          <w:tcPr>
            <w:tcW w:w="1427"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33</w:t>
            </w:r>
          </w:p>
        </w:tc>
        <w:tc>
          <w:tcPr>
            <w:tcW w:w="1975"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575（</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w:t>
            </w:r>
          </w:p>
        </w:tc>
        <w:tc>
          <w:tcPr>
            <w:tcW w:w="1631"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29</w:t>
            </w:r>
          </w:p>
        </w:tc>
        <w:tc>
          <w:tcPr>
            <w:tcW w:w="1681"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23</w:t>
            </w:r>
          </w:p>
        </w:tc>
        <w:tc>
          <w:tcPr>
            <w:tcW w:w="1655"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3</w:t>
            </w:r>
          </w:p>
        </w:tc>
      </w:tr>
      <w:tr w:rsidR="00B82FBD" w:rsidTr="00610A0E">
        <w:tc>
          <w:tcPr>
            <w:tcW w:w="2000"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合计</w:t>
            </w:r>
          </w:p>
        </w:tc>
        <w:tc>
          <w:tcPr>
            <w:tcW w:w="1427"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778</w:t>
            </w:r>
          </w:p>
        </w:tc>
        <w:tc>
          <w:tcPr>
            <w:tcW w:w="1975"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3.8</w:t>
            </w:r>
          </w:p>
        </w:tc>
        <w:tc>
          <w:tcPr>
            <w:tcW w:w="1631"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4503</w:t>
            </w:r>
          </w:p>
        </w:tc>
        <w:tc>
          <w:tcPr>
            <w:tcW w:w="1681"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8365</w:t>
            </w:r>
          </w:p>
        </w:tc>
        <w:tc>
          <w:tcPr>
            <w:tcW w:w="1655" w:type="dxa"/>
          </w:tcPr>
          <w:p w:rsidR="00B82FBD" w:rsidRDefault="00B82FBD" w:rsidP="00610A0E">
            <w:pPr>
              <w:pStyle w:val="2"/>
              <w:autoSpaceDE w:val="0"/>
              <w:autoSpaceDN w:val="0"/>
              <w:adjustRightInd w:val="0"/>
              <w:spacing w:line="440" w:lineRule="exact"/>
              <w:ind w:firstLine="0"/>
              <w:textAlignment w:val="baseline"/>
              <w:rPr>
                <w:rFonts w:ascii="仿宋" w:eastAsia="仿宋" w:hAnsi="仿宋" w:cs="仿宋"/>
                <w:sz w:val="28"/>
                <w:szCs w:val="28"/>
              </w:rPr>
            </w:pPr>
            <w:r>
              <w:rPr>
                <w:rFonts w:ascii="仿宋" w:eastAsia="仿宋" w:hAnsi="仿宋" w:cs="仿宋" w:hint="eastAsia"/>
                <w:sz w:val="28"/>
                <w:szCs w:val="28"/>
              </w:rPr>
              <w:t>1100</w:t>
            </w:r>
          </w:p>
        </w:tc>
      </w:tr>
    </w:tbl>
    <w:p w:rsidR="00B82FBD" w:rsidRDefault="00B82FBD" w:rsidP="00B82FBD">
      <w:pPr>
        <w:pStyle w:val="2"/>
        <w:autoSpaceDE w:val="0"/>
        <w:autoSpaceDN w:val="0"/>
        <w:adjustRightInd w:val="0"/>
        <w:spacing w:line="560" w:lineRule="exact"/>
        <w:ind w:firstLineChars="200" w:firstLine="643"/>
        <w:textAlignment w:val="baseline"/>
        <w:rPr>
          <w:rFonts w:ascii="仿宋" w:eastAsia="仿宋" w:hAnsi="仿宋" w:cs="仿宋"/>
          <w:sz w:val="32"/>
          <w:szCs w:val="32"/>
        </w:rPr>
      </w:pPr>
      <w:r>
        <w:rPr>
          <w:rFonts w:ascii="仿宋" w:eastAsia="仿宋" w:hAnsi="仿宋" w:cs="仿宋" w:hint="eastAsia"/>
          <w:b/>
          <w:bCs/>
          <w:sz w:val="32"/>
          <w:szCs w:val="32"/>
        </w:rPr>
        <w:t>3.近期趋势</w:t>
      </w:r>
      <w:r>
        <w:rPr>
          <w:rFonts w:ascii="仿宋" w:eastAsia="仿宋" w:hAnsi="仿宋" w:cs="仿宋" w:hint="eastAsia"/>
          <w:sz w:val="32"/>
          <w:szCs w:val="32"/>
        </w:rPr>
        <w:t>。2018年8月俄取消新建经济特区禁令（2016年俄总统普京曾要求暂停新设经济特区）后，特别是2019年下半年以来，为吸引投资，促进地区经济发展，俄政府加快批准新建经济特区，仅2019年下半年即</w:t>
      </w:r>
      <w:r>
        <w:rPr>
          <w:rFonts w:ascii="仿宋" w:eastAsia="仿宋" w:hAnsi="仿宋" w:cs="仿宋" w:hint="eastAsia"/>
          <w:sz w:val="32"/>
          <w:szCs w:val="32"/>
          <w:lang w:val="zh-CN"/>
        </w:rPr>
        <w:t>批准新建</w:t>
      </w:r>
      <w:r>
        <w:rPr>
          <w:rFonts w:ascii="仿宋" w:eastAsia="仿宋" w:hAnsi="仿宋" w:cs="仿宋" w:hint="eastAsia"/>
          <w:sz w:val="32"/>
          <w:szCs w:val="32"/>
        </w:rPr>
        <w:t>4</w:t>
      </w:r>
      <w:r>
        <w:rPr>
          <w:rFonts w:ascii="仿宋" w:eastAsia="仿宋" w:hAnsi="仿宋" w:cs="仿宋" w:hint="eastAsia"/>
          <w:sz w:val="32"/>
          <w:szCs w:val="32"/>
          <w:lang w:val="zh-CN"/>
        </w:rPr>
        <w:t>个经济特区（</w:t>
      </w:r>
      <w:r>
        <w:rPr>
          <w:rFonts w:ascii="仿宋" w:eastAsia="仿宋" w:hAnsi="仿宋" w:cs="仿宋" w:hint="eastAsia"/>
          <w:sz w:val="32"/>
          <w:szCs w:val="32"/>
        </w:rPr>
        <w:t>截至2019年7月1日，俄境内仅26个经济特区）。2020年以来，在疫情对地方经济造成巨大压力的情况下，俄政府实行“凡申则批”原则，即只要俄地方提出新建经济特区申请，就予以同意。今年已新设6个经济特区</w:t>
      </w:r>
      <w:r>
        <w:rPr>
          <w:rFonts w:ascii="仿宋" w:eastAsia="仿宋" w:hAnsi="仿宋" w:cs="仿宋" w:hint="eastAsia"/>
          <w:sz w:val="32"/>
          <w:szCs w:val="32"/>
          <w:lang w:val="zh-CN"/>
        </w:rPr>
        <w:t>，包括</w:t>
      </w:r>
      <w:r>
        <w:rPr>
          <w:rFonts w:ascii="仿宋" w:eastAsia="仿宋" w:hAnsi="仿宋" w:cs="仿宋" w:hint="eastAsia"/>
          <w:sz w:val="32"/>
          <w:szCs w:val="32"/>
        </w:rPr>
        <w:t>4个工业生产型，1个</w:t>
      </w:r>
      <w:r>
        <w:rPr>
          <w:rFonts w:ascii="仿宋" w:eastAsia="仿宋" w:hAnsi="仿宋" w:cs="仿宋" w:hint="eastAsia"/>
          <w:sz w:val="32"/>
          <w:szCs w:val="32"/>
          <w:lang w:val="zh-CN"/>
        </w:rPr>
        <w:t>技术研发型和</w:t>
      </w:r>
      <w:r>
        <w:rPr>
          <w:rFonts w:ascii="仿宋" w:eastAsia="仿宋" w:hAnsi="仿宋" w:cs="仿宋" w:hint="eastAsia"/>
          <w:sz w:val="32"/>
          <w:szCs w:val="32"/>
        </w:rPr>
        <w:t>1个</w:t>
      </w:r>
      <w:r>
        <w:rPr>
          <w:rFonts w:ascii="仿宋" w:eastAsia="仿宋" w:hAnsi="仿宋" w:cs="仿宋" w:hint="eastAsia"/>
          <w:sz w:val="32"/>
          <w:szCs w:val="32"/>
          <w:lang w:val="zh-CN"/>
        </w:rPr>
        <w:t>港口型经济特区。此外，</w:t>
      </w:r>
      <w:proofErr w:type="gramStart"/>
      <w:r>
        <w:rPr>
          <w:rFonts w:ascii="仿宋" w:eastAsia="仿宋" w:hAnsi="仿宋" w:cs="仿宋" w:hint="eastAsia"/>
          <w:sz w:val="32"/>
          <w:szCs w:val="32"/>
          <w:lang w:val="zh-CN"/>
        </w:rPr>
        <w:t>俄经发</w:t>
      </w:r>
      <w:proofErr w:type="gramEnd"/>
      <w:r>
        <w:rPr>
          <w:rFonts w:ascii="仿宋" w:eastAsia="仿宋" w:hAnsi="仿宋" w:cs="仿宋" w:hint="eastAsia"/>
          <w:sz w:val="32"/>
          <w:szCs w:val="32"/>
          <w:lang w:val="zh-CN"/>
        </w:rPr>
        <w:t>部还同意</w:t>
      </w:r>
      <w:proofErr w:type="gramStart"/>
      <w:r>
        <w:rPr>
          <w:rFonts w:ascii="仿宋" w:eastAsia="仿宋" w:hAnsi="仿宋" w:cs="仿宋" w:hint="eastAsia"/>
          <w:sz w:val="32"/>
          <w:szCs w:val="32"/>
          <w:lang w:val="zh-CN"/>
        </w:rPr>
        <w:t>了鄂木斯克州</w:t>
      </w:r>
      <w:proofErr w:type="gramEnd"/>
      <w:r>
        <w:rPr>
          <w:rFonts w:ascii="仿宋" w:eastAsia="仿宋" w:hAnsi="仿宋" w:cs="仿宋" w:hint="eastAsia"/>
          <w:sz w:val="32"/>
          <w:szCs w:val="32"/>
          <w:lang w:val="zh-CN"/>
        </w:rPr>
        <w:t>和克拉斯诺亚尔斯克边疆区的经济特区建设申请，年内有望再新增</w:t>
      </w:r>
      <w:r>
        <w:rPr>
          <w:rFonts w:ascii="仿宋" w:eastAsia="仿宋" w:hAnsi="仿宋" w:cs="仿宋" w:hint="eastAsia"/>
          <w:sz w:val="32"/>
          <w:szCs w:val="32"/>
        </w:rPr>
        <w:t>2个经济特区。</w:t>
      </w:r>
    </w:p>
    <w:p w:rsidR="00B82FBD" w:rsidRDefault="00B82FBD" w:rsidP="00B82FBD">
      <w:pPr>
        <w:pStyle w:val="2"/>
        <w:autoSpaceDE w:val="0"/>
        <w:autoSpaceDN w:val="0"/>
        <w:adjustRightInd w:val="0"/>
        <w:spacing w:line="560" w:lineRule="exact"/>
        <w:ind w:firstLineChars="200" w:firstLine="643"/>
        <w:textAlignment w:val="baseline"/>
        <w:rPr>
          <w:rFonts w:ascii="楷体" w:eastAsia="楷体" w:hAnsi="楷体" w:cs="楷体"/>
          <w:b/>
          <w:bCs/>
          <w:sz w:val="32"/>
          <w:szCs w:val="32"/>
        </w:rPr>
      </w:pPr>
      <w:r>
        <w:rPr>
          <w:rFonts w:ascii="楷体" w:eastAsia="楷体" w:hAnsi="楷体" w:cs="楷体" w:hint="eastAsia"/>
          <w:b/>
          <w:bCs/>
          <w:sz w:val="32"/>
          <w:szCs w:val="32"/>
        </w:rPr>
        <w:t>（二）跨越式发展区</w:t>
      </w:r>
    </w:p>
    <w:p w:rsidR="00B82FBD" w:rsidRDefault="00B82FBD" w:rsidP="00B82FBD">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2014年乌克兰危机爆发，俄罗斯遭遇西方制裁，经济陷入衰退。一方面，俄积极实行“向东看”战略，在远东地区着力打造跨越式发展区和自由港，吸引各类投资，推动当地经济社会加速发展；另一方面，在诸多经济形势最为严峻的单一型城市</w:t>
      </w:r>
      <w:r>
        <w:rPr>
          <w:rStyle w:val="a5"/>
          <w:rFonts w:ascii="仿宋" w:eastAsia="仿宋" w:hAnsi="仿宋" w:cs="仿宋" w:hint="eastAsia"/>
          <w:sz w:val="32"/>
          <w:szCs w:val="32"/>
        </w:rPr>
        <w:footnoteReference w:id="2"/>
      </w:r>
      <w:r>
        <w:rPr>
          <w:rFonts w:ascii="仿宋" w:eastAsia="仿宋" w:hAnsi="仿宋" w:cs="仿宋" w:hint="eastAsia"/>
          <w:sz w:val="32"/>
          <w:szCs w:val="32"/>
        </w:rPr>
        <w:t>建设跨越式发展区，以减少其对城市支柱企业的</w:t>
      </w:r>
      <w:r>
        <w:rPr>
          <w:rFonts w:ascii="仿宋" w:eastAsia="仿宋" w:hAnsi="仿宋" w:cs="仿宋" w:hint="eastAsia"/>
          <w:sz w:val="32"/>
          <w:szCs w:val="32"/>
        </w:rPr>
        <w:lastRenderedPageBreak/>
        <w:t>依赖，促进其产业多元化和经济稳定发展。俄远东和北极发展部、经济发展部分别负责上述地区的跨越式发展区建设相关事务。</w:t>
      </w:r>
    </w:p>
    <w:p w:rsidR="00B82FBD" w:rsidRDefault="00B82FBD" w:rsidP="00B82FBD">
      <w:pPr>
        <w:pStyle w:val="a4"/>
        <w:widowControl/>
        <w:numPr>
          <w:ilvl w:val="0"/>
          <w:numId w:val="3"/>
        </w:numPr>
        <w:autoSpaceDE w:val="0"/>
        <w:autoSpaceDN w:val="0"/>
        <w:adjustRightInd w:val="0"/>
        <w:spacing w:before="0" w:beforeAutospacing="0" w:after="0" w:afterAutospacing="0" w:line="560" w:lineRule="exact"/>
        <w:ind w:firstLineChars="200" w:firstLine="643"/>
        <w:jc w:val="both"/>
        <w:textAlignment w:val="baseline"/>
        <w:rPr>
          <w:rFonts w:ascii="仿宋" w:eastAsia="仿宋" w:hAnsi="仿宋" w:cs="仿宋"/>
          <w:kern w:val="2"/>
          <w:sz w:val="32"/>
          <w:szCs w:val="32"/>
        </w:rPr>
      </w:pPr>
      <w:r>
        <w:rPr>
          <w:rFonts w:ascii="仿宋" w:eastAsia="仿宋" w:hAnsi="仿宋" w:cs="仿宋" w:hint="eastAsia"/>
          <w:b/>
          <w:bCs/>
          <w:kern w:val="2"/>
          <w:sz w:val="32"/>
          <w:szCs w:val="32"/>
        </w:rPr>
        <w:t>分布情况</w:t>
      </w:r>
      <w:r>
        <w:rPr>
          <w:rFonts w:ascii="仿宋" w:eastAsia="仿宋" w:hAnsi="仿宋" w:cs="仿宋" w:hint="eastAsia"/>
          <w:kern w:val="2"/>
          <w:sz w:val="32"/>
          <w:szCs w:val="32"/>
        </w:rPr>
        <w:t>。截至目前，俄共有111个跨越式发展区，其中远东地区21个，单一型城市87个，保密行政区3个。分布于俄约50个联邦主体，集中分布在远东地区、西部地区，另外，在西伯利亚联邦区南部也有10余个跨越式发展区。</w:t>
      </w:r>
    </w:p>
    <w:p w:rsidR="00B82FBD" w:rsidRDefault="00B82FBD" w:rsidP="00B82FBD">
      <w:pPr>
        <w:pStyle w:val="a4"/>
        <w:widowControl/>
        <w:autoSpaceDE w:val="0"/>
        <w:autoSpaceDN w:val="0"/>
        <w:adjustRightInd w:val="0"/>
        <w:spacing w:before="0" w:beforeAutospacing="0" w:after="0" w:afterAutospacing="0" w:line="560" w:lineRule="exact"/>
        <w:ind w:firstLineChars="200" w:firstLine="643"/>
        <w:jc w:val="both"/>
        <w:textAlignment w:val="baseline"/>
        <w:rPr>
          <w:rFonts w:ascii="仿宋" w:eastAsia="仿宋" w:hAnsi="仿宋" w:cs="仿宋"/>
          <w:kern w:val="2"/>
          <w:sz w:val="32"/>
          <w:szCs w:val="32"/>
        </w:rPr>
      </w:pPr>
      <w:r>
        <w:rPr>
          <w:rFonts w:ascii="仿宋" w:eastAsia="仿宋" w:hAnsi="仿宋" w:cs="仿宋" w:hint="eastAsia"/>
          <w:b/>
          <w:bCs/>
          <w:kern w:val="2"/>
          <w:sz w:val="32"/>
          <w:szCs w:val="32"/>
        </w:rPr>
        <w:t>2.企业入驻情况</w:t>
      </w:r>
      <w:r>
        <w:rPr>
          <w:rFonts w:ascii="仿宋" w:eastAsia="仿宋" w:hAnsi="仿宋" w:cs="仿宋" w:hint="eastAsia"/>
          <w:kern w:val="2"/>
          <w:sz w:val="32"/>
          <w:szCs w:val="32"/>
        </w:rPr>
        <w:t>。</w:t>
      </w:r>
      <w:r>
        <w:rPr>
          <w:rFonts w:ascii="仿宋" w:eastAsia="仿宋" w:hAnsi="仿宋" w:cs="仿宋" w:hint="eastAsia"/>
          <w:b/>
          <w:bCs/>
          <w:kern w:val="2"/>
          <w:sz w:val="32"/>
          <w:szCs w:val="32"/>
        </w:rPr>
        <w:t>关于远东跨越式发展区</w:t>
      </w:r>
      <w:r>
        <w:rPr>
          <w:rFonts w:ascii="仿宋" w:eastAsia="仿宋" w:hAnsi="仿宋" w:cs="仿宋" w:hint="eastAsia"/>
          <w:kern w:val="2"/>
          <w:sz w:val="32"/>
          <w:szCs w:val="32"/>
        </w:rPr>
        <w:t>。截至2020年7月1日，入驻企业448家，协议投资额3.09</w:t>
      </w:r>
      <w:proofErr w:type="gramStart"/>
      <w:r>
        <w:rPr>
          <w:rFonts w:ascii="仿宋" w:eastAsia="仿宋" w:hAnsi="仿宋" w:cs="仿宋" w:hint="eastAsia"/>
          <w:kern w:val="2"/>
          <w:sz w:val="32"/>
          <w:szCs w:val="32"/>
        </w:rPr>
        <w:t>万亿</w:t>
      </w:r>
      <w:proofErr w:type="gramEnd"/>
      <w:r>
        <w:rPr>
          <w:rFonts w:ascii="仿宋" w:eastAsia="仿宋" w:hAnsi="仿宋" w:cs="仿宋" w:hint="eastAsia"/>
          <w:kern w:val="2"/>
          <w:sz w:val="32"/>
          <w:szCs w:val="32"/>
        </w:rPr>
        <w:t>卢布，实际投资额7115亿卢布，创造工作岗位3.1万余个。投资领域包括住房建设、物流、机械制造、旅游、医疗和农业等，约1/7的入驻企业从事物流运输业务。中小企业占比高达85%。入驻企业数量最多的地区为滨海边疆区、勘察加边疆区和哈巴罗夫斯克边疆区，分别为100、98和69家。阿穆尔州、滨海边疆区内的跨越式发展区因拟（正）实施天然气加工厂、炼油厂、造船厂等资本密集型大项目，协议投资额在远东所有跨越式发展区里位居前列。滨海边疆</w:t>
      </w:r>
      <w:proofErr w:type="gramStart"/>
      <w:r>
        <w:rPr>
          <w:rFonts w:ascii="仿宋" w:eastAsia="仿宋" w:hAnsi="仿宋" w:cs="仿宋" w:hint="eastAsia"/>
          <w:kern w:val="2"/>
          <w:sz w:val="32"/>
          <w:szCs w:val="32"/>
        </w:rPr>
        <w:t>区外资</w:t>
      </w:r>
      <w:proofErr w:type="gramEnd"/>
      <w:r>
        <w:rPr>
          <w:rFonts w:ascii="仿宋" w:eastAsia="仿宋" w:hAnsi="仿宋" w:cs="仿宋" w:hint="eastAsia"/>
          <w:kern w:val="2"/>
          <w:sz w:val="32"/>
          <w:szCs w:val="32"/>
        </w:rPr>
        <w:t>来源最为多元化，涉及中日韩等东亚国家、新加坡越南等东南亚国家以及澳大利亚、新西兰等国家。</w:t>
      </w:r>
    </w:p>
    <w:p w:rsidR="00B82FBD" w:rsidRDefault="00B82FBD" w:rsidP="00B82FBD">
      <w:pPr>
        <w:pStyle w:val="a4"/>
        <w:widowControl/>
        <w:autoSpaceDE w:val="0"/>
        <w:autoSpaceDN w:val="0"/>
        <w:adjustRightInd w:val="0"/>
        <w:spacing w:before="0" w:beforeAutospacing="0" w:after="0" w:afterAutospacing="0" w:line="560" w:lineRule="exact"/>
        <w:ind w:firstLineChars="200" w:firstLine="643"/>
        <w:jc w:val="both"/>
        <w:textAlignment w:val="baseline"/>
        <w:rPr>
          <w:rFonts w:ascii="仿宋" w:eastAsia="仿宋" w:hAnsi="仿宋" w:cs="仿宋"/>
          <w:kern w:val="2"/>
          <w:sz w:val="32"/>
          <w:szCs w:val="32"/>
        </w:rPr>
      </w:pPr>
      <w:r>
        <w:rPr>
          <w:rFonts w:ascii="仿宋" w:eastAsia="仿宋" w:hAnsi="仿宋" w:cs="仿宋" w:hint="eastAsia"/>
          <w:b/>
          <w:bCs/>
          <w:kern w:val="2"/>
          <w:sz w:val="32"/>
          <w:szCs w:val="32"/>
        </w:rPr>
        <w:t>关于单一型城市跨越式发展区。</w:t>
      </w:r>
      <w:r>
        <w:rPr>
          <w:rFonts w:ascii="仿宋" w:eastAsia="仿宋" w:hAnsi="仿宋" w:cs="仿宋" w:hint="eastAsia"/>
          <w:kern w:val="2"/>
          <w:sz w:val="32"/>
          <w:szCs w:val="32"/>
        </w:rPr>
        <w:t>截至2020年3月31日，入驻企业639家，实际投资额超过690亿卢布，创造工作岗位2.7万个。2020年以来，入驻企业数量增幅近40%，投资额增幅达30%，截至2020年11月10日，两项指标分别为800家和750</w:t>
      </w:r>
      <w:r>
        <w:rPr>
          <w:rFonts w:ascii="仿宋" w:eastAsia="仿宋" w:hAnsi="仿宋" w:cs="仿宋" w:hint="eastAsia"/>
          <w:kern w:val="2"/>
          <w:sz w:val="32"/>
          <w:szCs w:val="32"/>
        </w:rPr>
        <w:lastRenderedPageBreak/>
        <w:t>亿卢布。区内企业主要从事食品加工以及塑料、金属制品生产等。</w:t>
      </w:r>
    </w:p>
    <w:p w:rsidR="00B82FBD" w:rsidRDefault="00B82FBD" w:rsidP="00B82FBD">
      <w:pPr>
        <w:pStyle w:val="a4"/>
        <w:widowControl/>
        <w:autoSpaceDE w:val="0"/>
        <w:autoSpaceDN w:val="0"/>
        <w:adjustRightInd w:val="0"/>
        <w:spacing w:before="0" w:beforeAutospacing="0" w:after="0" w:afterAutospacing="0" w:line="560" w:lineRule="exact"/>
        <w:ind w:firstLineChars="200" w:firstLine="643"/>
        <w:jc w:val="both"/>
        <w:textAlignment w:val="baseline"/>
        <w:rPr>
          <w:rFonts w:ascii="仿宋" w:eastAsia="仿宋" w:hAnsi="仿宋" w:cs="仿宋"/>
          <w:kern w:val="2"/>
          <w:sz w:val="32"/>
          <w:szCs w:val="32"/>
        </w:rPr>
      </w:pPr>
      <w:r>
        <w:rPr>
          <w:rFonts w:ascii="仿宋" w:eastAsia="仿宋" w:hAnsi="仿宋" w:cs="仿宋" w:hint="eastAsia"/>
          <w:b/>
          <w:bCs/>
          <w:kern w:val="2"/>
          <w:sz w:val="32"/>
          <w:szCs w:val="32"/>
        </w:rPr>
        <w:t>3.近期趋势</w:t>
      </w:r>
      <w:r>
        <w:rPr>
          <w:rFonts w:ascii="仿宋" w:eastAsia="仿宋" w:hAnsi="仿宋" w:cs="仿宋" w:hint="eastAsia"/>
          <w:kern w:val="2"/>
          <w:sz w:val="32"/>
          <w:szCs w:val="32"/>
        </w:rPr>
        <w:t>。</w:t>
      </w:r>
      <w:r>
        <w:rPr>
          <w:rFonts w:ascii="仿宋" w:eastAsia="仿宋" w:hAnsi="仿宋" w:cs="仿宋" w:hint="eastAsia"/>
          <w:b/>
          <w:bCs/>
          <w:kern w:val="2"/>
          <w:sz w:val="32"/>
          <w:szCs w:val="32"/>
        </w:rPr>
        <w:t>一是跨越式发展区扩容</w:t>
      </w:r>
      <w:r>
        <w:rPr>
          <w:rFonts w:ascii="仿宋" w:eastAsia="仿宋" w:hAnsi="仿宋" w:cs="仿宋" w:hint="eastAsia"/>
          <w:kern w:val="2"/>
          <w:sz w:val="32"/>
          <w:szCs w:val="32"/>
        </w:rPr>
        <w:t>。</w:t>
      </w:r>
      <w:proofErr w:type="gramStart"/>
      <w:r>
        <w:rPr>
          <w:rFonts w:ascii="仿宋" w:eastAsia="仿宋" w:hAnsi="仿宋" w:cs="仿宋" w:hint="eastAsia"/>
          <w:kern w:val="2"/>
          <w:sz w:val="32"/>
          <w:szCs w:val="32"/>
        </w:rPr>
        <w:t>萨</w:t>
      </w:r>
      <w:proofErr w:type="gramEnd"/>
      <w:r>
        <w:rPr>
          <w:rFonts w:ascii="仿宋" w:eastAsia="仿宋" w:hAnsi="仿宋" w:cs="仿宋" w:hint="eastAsia"/>
          <w:kern w:val="2"/>
          <w:sz w:val="32"/>
          <w:szCs w:val="32"/>
        </w:rPr>
        <w:t>哈共和国“雅库特”、滨海边疆区“米哈伊洛夫斯基”等多个跨越式发展区实现扩容；</w:t>
      </w:r>
      <w:r>
        <w:rPr>
          <w:rFonts w:ascii="仿宋" w:eastAsia="仿宋" w:hAnsi="仿宋" w:cs="仿宋" w:hint="eastAsia"/>
          <w:b/>
          <w:bCs/>
          <w:kern w:val="2"/>
          <w:sz w:val="32"/>
          <w:szCs w:val="32"/>
        </w:rPr>
        <w:t>二是实施“负面清单”制</w:t>
      </w:r>
      <w:r>
        <w:rPr>
          <w:rFonts w:ascii="仿宋" w:eastAsia="仿宋" w:hAnsi="仿宋" w:cs="仿宋" w:hint="eastAsia"/>
          <w:kern w:val="2"/>
          <w:sz w:val="32"/>
          <w:szCs w:val="32"/>
        </w:rPr>
        <w:t>。2020年7月，俄政府对单一型城市跨越式发展区入驻企业经营范围实施“负面清单”制，即只要</w:t>
      </w:r>
      <w:proofErr w:type="gramStart"/>
      <w:r>
        <w:rPr>
          <w:rFonts w:ascii="仿宋" w:eastAsia="仿宋" w:hAnsi="仿宋" w:cs="仿宋" w:hint="eastAsia"/>
          <w:kern w:val="2"/>
          <w:sz w:val="32"/>
          <w:szCs w:val="32"/>
        </w:rPr>
        <w:t>不</w:t>
      </w:r>
      <w:proofErr w:type="gramEnd"/>
      <w:r>
        <w:rPr>
          <w:rFonts w:ascii="仿宋" w:eastAsia="仿宋" w:hAnsi="仿宋" w:cs="仿宋" w:hint="eastAsia"/>
          <w:kern w:val="2"/>
          <w:sz w:val="32"/>
          <w:szCs w:val="32"/>
        </w:rPr>
        <w:t>位于木材采伐等23项经营活动之列，均可正常开展生产经营。</w:t>
      </w:r>
    </w:p>
    <w:p w:rsidR="00B82FBD" w:rsidRDefault="00B82FBD" w:rsidP="00B82FBD">
      <w:pPr>
        <w:pStyle w:val="2"/>
        <w:autoSpaceDE w:val="0"/>
        <w:autoSpaceDN w:val="0"/>
        <w:adjustRightInd w:val="0"/>
        <w:spacing w:line="560" w:lineRule="exact"/>
        <w:ind w:firstLineChars="200" w:firstLine="643"/>
        <w:rPr>
          <w:rFonts w:ascii="仿宋" w:eastAsia="仿宋" w:hAnsi="仿宋" w:cs="仿宋"/>
          <w:b/>
          <w:bCs/>
          <w:sz w:val="32"/>
          <w:szCs w:val="32"/>
        </w:rPr>
      </w:pPr>
      <w:r>
        <w:rPr>
          <w:rFonts w:ascii="楷体" w:eastAsia="楷体" w:hAnsi="楷体" w:cs="楷体" w:hint="eastAsia"/>
          <w:b/>
          <w:bCs/>
          <w:sz w:val="32"/>
          <w:szCs w:val="32"/>
        </w:rPr>
        <w:t>（三）符拉迪沃斯托克自由港</w:t>
      </w:r>
    </w:p>
    <w:p w:rsidR="00B82FBD" w:rsidRDefault="00B82FBD" w:rsidP="00B82FBD">
      <w:pPr>
        <w:pStyle w:val="2"/>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2015年7月，俄总统普京签署《关于符拉迪沃斯托克自由港的联邦法律》，标志着自由港建设正式启动。</w:t>
      </w:r>
    </w:p>
    <w:p w:rsidR="00B82FBD" w:rsidRDefault="00B82FBD" w:rsidP="00B82FBD">
      <w:pPr>
        <w:pStyle w:val="2"/>
        <w:autoSpaceDE w:val="0"/>
        <w:autoSpaceDN w:val="0"/>
        <w:adjustRightIn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1.分布情况</w:t>
      </w:r>
      <w:r>
        <w:rPr>
          <w:rFonts w:ascii="仿宋" w:eastAsia="仿宋" w:hAnsi="仿宋" w:cs="仿宋" w:hint="eastAsia"/>
          <w:sz w:val="32"/>
          <w:szCs w:val="32"/>
        </w:rPr>
        <w:t>。目前，俄远东地区已将滨海边疆区、哈巴罗夫斯克边疆区、萨哈林州、勘察加边疆区和楚科奇自治区5个联邦主体的22个行政区纳入自由港区。</w:t>
      </w:r>
    </w:p>
    <w:p w:rsidR="00B82FBD" w:rsidRDefault="00B82FBD" w:rsidP="00B82FBD">
      <w:pPr>
        <w:pStyle w:val="2"/>
        <w:autoSpaceDE w:val="0"/>
        <w:autoSpaceDN w:val="0"/>
        <w:adjustRightIn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2.企业入驻情况</w:t>
      </w:r>
      <w:r>
        <w:rPr>
          <w:rFonts w:ascii="仿宋" w:eastAsia="仿宋" w:hAnsi="仿宋" w:cs="仿宋" w:hint="eastAsia"/>
          <w:sz w:val="32"/>
          <w:szCs w:val="32"/>
        </w:rPr>
        <w:t>。截至2020年10月12日，入驻企业2063家，协议投资额超过1</w:t>
      </w:r>
      <w:proofErr w:type="gramStart"/>
      <w:r>
        <w:rPr>
          <w:rFonts w:ascii="仿宋" w:eastAsia="仿宋" w:hAnsi="仿宋" w:cs="仿宋" w:hint="eastAsia"/>
          <w:sz w:val="32"/>
          <w:szCs w:val="32"/>
        </w:rPr>
        <w:t>万亿</w:t>
      </w:r>
      <w:proofErr w:type="gramEnd"/>
      <w:r>
        <w:rPr>
          <w:rFonts w:ascii="仿宋" w:eastAsia="仿宋" w:hAnsi="仿宋" w:cs="仿宋" w:hint="eastAsia"/>
          <w:sz w:val="32"/>
          <w:szCs w:val="32"/>
        </w:rPr>
        <w:t>卢布，实际投资额1560亿卢布，创造工作岗位1.7万余个。入驻企业主要集中在滨海边疆区（1819家），其后是</w:t>
      </w:r>
      <w:proofErr w:type="gramStart"/>
      <w:r>
        <w:rPr>
          <w:rFonts w:ascii="仿宋" w:eastAsia="仿宋" w:hAnsi="仿宋" w:cs="仿宋" w:hint="eastAsia"/>
          <w:sz w:val="32"/>
          <w:szCs w:val="32"/>
        </w:rPr>
        <w:t>堪察</w:t>
      </w:r>
      <w:proofErr w:type="gramEnd"/>
      <w:r>
        <w:rPr>
          <w:rFonts w:ascii="仿宋" w:eastAsia="仿宋" w:hAnsi="仿宋" w:cs="仿宋" w:hint="eastAsia"/>
          <w:sz w:val="32"/>
          <w:szCs w:val="32"/>
        </w:rPr>
        <w:t>加边疆区（161家）、萨哈林州（51家）、哈巴罗夫斯克边疆区（24家）和楚科奇自治区（8家）。最受欢迎的行业为不动产开发、物流运输业、娱乐休闲业和旅游业。</w:t>
      </w:r>
    </w:p>
    <w:p w:rsidR="00B82FBD" w:rsidRDefault="00B82FBD" w:rsidP="00B82FBD">
      <w:pPr>
        <w:pStyle w:val="2"/>
        <w:autoSpaceDE w:val="0"/>
        <w:autoSpaceDN w:val="0"/>
        <w:adjustRightInd w:val="0"/>
        <w:spacing w:line="560" w:lineRule="exact"/>
        <w:ind w:firstLineChars="200" w:firstLine="643"/>
        <w:rPr>
          <w:rFonts w:ascii="黑体" w:eastAsia="黑体" w:hAnsi="黑体" w:cs="黑体"/>
          <w:bCs/>
          <w:sz w:val="32"/>
        </w:rPr>
      </w:pPr>
      <w:r>
        <w:rPr>
          <w:rFonts w:ascii="仿宋" w:eastAsia="仿宋" w:hAnsi="仿宋" w:cs="仿宋" w:hint="eastAsia"/>
          <w:b/>
          <w:bCs/>
          <w:sz w:val="32"/>
          <w:szCs w:val="32"/>
        </w:rPr>
        <w:t>3.近期趋势</w:t>
      </w:r>
      <w:r>
        <w:rPr>
          <w:rFonts w:ascii="仿宋" w:eastAsia="仿宋" w:hAnsi="仿宋" w:cs="仿宋" w:hint="eastAsia"/>
          <w:sz w:val="32"/>
          <w:szCs w:val="32"/>
        </w:rPr>
        <w:t>。</w:t>
      </w:r>
      <w:r>
        <w:rPr>
          <w:rFonts w:ascii="仿宋" w:eastAsia="仿宋" w:hAnsi="仿宋" w:cs="仿宋" w:hint="eastAsia"/>
          <w:b/>
          <w:bCs/>
          <w:sz w:val="32"/>
          <w:szCs w:val="32"/>
        </w:rPr>
        <w:t>一是推出贴息贷款</w:t>
      </w:r>
      <w:r>
        <w:rPr>
          <w:rFonts w:ascii="仿宋" w:eastAsia="仿宋" w:hAnsi="仿宋" w:cs="仿宋" w:hint="eastAsia"/>
          <w:sz w:val="32"/>
          <w:szCs w:val="32"/>
        </w:rPr>
        <w:t>。2020年起俄政府向远东“一区一港”入驻企业提供优惠贷款，由国家财政向银行提供补贴；</w:t>
      </w:r>
      <w:r>
        <w:rPr>
          <w:rFonts w:ascii="仿宋" w:eastAsia="仿宋" w:hAnsi="仿宋" w:cs="仿宋" w:hint="eastAsia"/>
          <w:b/>
          <w:bCs/>
          <w:sz w:val="32"/>
          <w:szCs w:val="32"/>
        </w:rPr>
        <w:t>二是签证便利化</w:t>
      </w:r>
      <w:r>
        <w:rPr>
          <w:rFonts w:ascii="仿宋" w:eastAsia="仿宋" w:hAnsi="仿宋" w:cs="仿宋" w:hint="eastAsia"/>
          <w:sz w:val="32"/>
          <w:szCs w:val="32"/>
        </w:rPr>
        <w:t>。将远东“一区一港”入驻企业</w:t>
      </w:r>
      <w:r>
        <w:rPr>
          <w:rFonts w:ascii="仿宋" w:eastAsia="仿宋" w:hAnsi="仿宋" w:cs="仿宋" w:hint="eastAsia"/>
          <w:sz w:val="32"/>
          <w:szCs w:val="32"/>
        </w:rPr>
        <w:lastRenderedPageBreak/>
        <w:t>外籍员工工作签证有效期最长延至3年；</w:t>
      </w:r>
      <w:r>
        <w:rPr>
          <w:rFonts w:ascii="仿宋" w:eastAsia="仿宋" w:hAnsi="仿宋" w:cs="仿宋" w:hint="eastAsia"/>
          <w:b/>
          <w:bCs/>
          <w:sz w:val="32"/>
          <w:szCs w:val="32"/>
        </w:rPr>
        <w:t>三是自由港或扩展至远东全境</w:t>
      </w:r>
      <w:r>
        <w:rPr>
          <w:rFonts w:ascii="仿宋" w:eastAsia="仿宋" w:hAnsi="仿宋" w:cs="仿宋" w:hint="eastAsia"/>
          <w:sz w:val="32"/>
          <w:szCs w:val="32"/>
        </w:rPr>
        <w:t>。2020年9月俄政府批准的《2024年前远东社会经济发展国家纲要及2035年远景目标》提议，将符拉迪沃斯托克自由港优惠制度拓展至远东联邦区全境。</w:t>
      </w:r>
    </w:p>
    <w:p w:rsidR="00CE0765" w:rsidRDefault="009A3E61"/>
    <w:sectPr w:rsidR="00CE07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61" w:rsidRDefault="009A3E61" w:rsidP="00B82FBD">
      <w:r>
        <w:separator/>
      </w:r>
    </w:p>
  </w:endnote>
  <w:endnote w:type="continuationSeparator" w:id="0">
    <w:p w:rsidR="009A3E61" w:rsidRDefault="009A3E61" w:rsidP="00B8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书宋_GBK">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E0000AFF" w:usb1="00007843" w:usb2="00000001" w:usb3="00000000" w:csb0="400001BF" w:csb1="DFF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61" w:rsidRDefault="009A3E61" w:rsidP="00B82FBD">
      <w:r>
        <w:separator/>
      </w:r>
    </w:p>
  </w:footnote>
  <w:footnote w:type="continuationSeparator" w:id="0">
    <w:p w:rsidR="009A3E61" w:rsidRDefault="009A3E61" w:rsidP="00B82FBD">
      <w:r>
        <w:continuationSeparator/>
      </w:r>
    </w:p>
  </w:footnote>
  <w:footnote w:id="1">
    <w:p w:rsidR="00B82FBD" w:rsidRDefault="00B82FBD" w:rsidP="00B82FBD">
      <w:pPr>
        <w:pStyle w:val="a3"/>
      </w:pPr>
      <w:r>
        <w:rPr>
          <w:rStyle w:val="a5"/>
        </w:rPr>
        <w:footnoteRef/>
      </w:r>
      <w:r>
        <w:t xml:space="preserve"> </w:t>
      </w:r>
      <w:r>
        <w:rPr>
          <w:rFonts w:ascii="仿宋" w:eastAsia="仿宋" w:hAnsi="仿宋" w:cs="仿宋" w:hint="eastAsia"/>
          <w:sz w:val="28"/>
          <w:szCs w:val="28"/>
        </w:rPr>
        <w:t>除一般意义上的四类经济特区外，俄还专门通过联邦法律将加里宁格勒州和马加丹市全境设为经济特区。本文主要探讨上述四类经济特区。</w:t>
      </w:r>
    </w:p>
  </w:footnote>
  <w:footnote w:id="2">
    <w:p w:rsidR="00B82FBD" w:rsidRDefault="00B82FBD" w:rsidP="00B82FBD">
      <w:pPr>
        <w:pStyle w:val="a3"/>
        <w:autoSpaceDE w:val="0"/>
        <w:autoSpaceDN w:val="0"/>
        <w:adjustRightInd w:val="0"/>
        <w:spacing w:line="400" w:lineRule="exact"/>
        <w:jc w:val="both"/>
        <w:textAlignment w:val="baseline"/>
        <w:rPr>
          <w:rFonts w:ascii="仿宋" w:eastAsia="仿宋" w:hAnsi="仿宋" w:cs="仿宋"/>
          <w:sz w:val="28"/>
          <w:szCs w:val="28"/>
        </w:rPr>
      </w:pPr>
      <w:r>
        <w:rPr>
          <w:rStyle w:val="a5"/>
          <w:rFonts w:ascii="仿宋" w:eastAsia="仿宋" w:hAnsi="仿宋" w:cs="仿宋" w:hint="eastAsia"/>
          <w:sz w:val="30"/>
          <w:szCs w:val="30"/>
        </w:rPr>
        <w:footnoteRef/>
      </w:r>
      <w:r>
        <w:rPr>
          <w:rFonts w:ascii="仿宋" w:eastAsia="仿宋" w:hAnsi="仿宋" w:cs="仿宋" w:hint="eastAsia"/>
          <w:sz w:val="30"/>
          <w:szCs w:val="30"/>
        </w:rPr>
        <w:t xml:space="preserve"> </w:t>
      </w:r>
      <w:r>
        <w:rPr>
          <w:rFonts w:ascii="仿宋" w:eastAsia="仿宋" w:hAnsi="仿宋" w:cs="仿宋" w:hint="eastAsia"/>
          <w:sz w:val="28"/>
          <w:szCs w:val="28"/>
        </w:rPr>
        <w:t>单一型城市（</w:t>
      </w:r>
      <w:proofErr w:type="spellStart"/>
      <w:r>
        <w:rPr>
          <w:rFonts w:ascii="Times New Roman" w:eastAsia="仿宋" w:hAnsi="Times New Roman" w:cs="Times New Roman"/>
          <w:sz w:val="28"/>
          <w:szCs w:val="28"/>
        </w:rPr>
        <w:t>моногород</w:t>
      </w:r>
      <w:proofErr w:type="spellEnd"/>
      <w:r>
        <w:rPr>
          <w:rFonts w:ascii="仿宋" w:eastAsia="仿宋" w:hAnsi="仿宋" w:cs="仿宋" w:hint="eastAsia"/>
          <w:sz w:val="28"/>
          <w:szCs w:val="28"/>
        </w:rPr>
        <w:t>）是指城市经济社会发展严重依赖某一产业或某一企业的城市，其大规模形成于苏联计划经济体制下。目前，俄共有300余个单一型城市，占全部城市数量的30%左右，人口数量占总人口的10%左右。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9AA3A"/>
    <w:multiLevelType w:val="singleLevel"/>
    <w:tmpl w:val="5FC9AA3A"/>
    <w:lvl w:ilvl="0">
      <w:start w:val="1"/>
      <w:numFmt w:val="chineseCounting"/>
      <w:suff w:val="nothing"/>
      <w:lvlText w:val="%1、"/>
      <w:lvlJc w:val="left"/>
    </w:lvl>
  </w:abstractNum>
  <w:abstractNum w:abstractNumId="1">
    <w:nsid w:val="5FC9B2F0"/>
    <w:multiLevelType w:val="singleLevel"/>
    <w:tmpl w:val="5FC9B2F0"/>
    <w:lvl w:ilvl="0">
      <w:start w:val="1"/>
      <w:numFmt w:val="decimal"/>
      <w:suff w:val="nothing"/>
      <w:lvlText w:val="%1."/>
      <w:lvlJc w:val="left"/>
    </w:lvl>
  </w:abstractNum>
  <w:abstractNum w:abstractNumId="2">
    <w:nsid w:val="5FCEF964"/>
    <w:multiLevelType w:val="singleLevel"/>
    <w:tmpl w:val="5FCEF964"/>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BD"/>
    <w:rsid w:val="00042379"/>
    <w:rsid w:val="00506B2C"/>
    <w:rsid w:val="00676048"/>
    <w:rsid w:val="009A3E61"/>
    <w:rsid w:val="00B82FBD"/>
    <w:rsid w:val="00D20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BD"/>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B82FBD"/>
    <w:pPr>
      <w:snapToGrid w:val="0"/>
      <w:jc w:val="left"/>
    </w:pPr>
    <w:rPr>
      <w:sz w:val="18"/>
    </w:rPr>
  </w:style>
  <w:style w:type="character" w:customStyle="1" w:styleId="Char">
    <w:name w:val="脚注文本 Char"/>
    <w:basedOn w:val="a0"/>
    <w:link w:val="a3"/>
    <w:rsid w:val="00B82FBD"/>
    <w:rPr>
      <w:rFonts w:ascii="Calibri" w:eastAsia="宋体" w:hAnsi="Calibri" w:cs="黑体"/>
      <w:sz w:val="18"/>
    </w:rPr>
  </w:style>
  <w:style w:type="paragraph" w:styleId="a4">
    <w:name w:val="Normal (Web)"/>
    <w:basedOn w:val="a"/>
    <w:unhideWhenUsed/>
    <w:rsid w:val="00B82FBD"/>
    <w:pPr>
      <w:spacing w:before="100" w:beforeAutospacing="1" w:after="100" w:afterAutospacing="1"/>
      <w:jc w:val="left"/>
    </w:pPr>
    <w:rPr>
      <w:kern w:val="0"/>
      <w:sz w:val="24"/>
    </w:rPr>
  </w:style>
  <w:style w:type="character" w:styleId="a5">
    <w:name w:val="footnote reference"/>
    <w:basedOn w:val="a0"/>
    <w:unhideWhenUsed/>
    <w:rsid w:val="00B82FBD"/>
    <w:rPr>
      <w:vertAlign w:val="superscript"/>
    </w:rPr>
  </w:style>
  <w:style w:type="table" w:styleId="a6">
    <w:name w:val="Table Grid"/>
    <w:basedOn w:val="a1"/>
    <w:uiPriority w:val="39"/>
    <w:rsid w:val="00B82FB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 首行缩进:  2 字符"/>
    <w:basedOn w:val="a"/>
    <w:qFormat/>
    <w:rsid w:val="00B82FBD"/>
    <w:pPr>
      <w:ind w:firstLine="420"/>
    </w:pPr>
    <w:rPr>
      <w:rFonts w:ascii="Arial Unicode MS" w:eastAsia="方正书宋_GBK" w:hAnsi="Arial Unicode MS" w:cs="宋体"/>
      <w:szCs w:val="20"/>
    </w:rPr>
  </w:style>
  <w:style w:type="paragraph" w:styleId="a7">
    <w:name w:val="Balloon Text"/>
    <w:basedOn w:val="a"/>
    <w:link w:val="Char0"/>
    <w:uiPriority w:val="99"/>
    <w:semiHidden/>
    <w:unhideWhenUsed/>
    <w:rsid w:val="00B82FBD"/>
    <w:rPr>
      <w:sz w:val="18"/>
      <w:szCs w:val="18"/>
    </w:rPr>
  </w:style>
  <w:style w:type="character" w:customStyle="1" w:styleId="Char0">
    <w:name w:val="批注框文本 Char"/>
    <w:basedOn w:val="a0"/>
    <w:link w:val="a7"/>
    <w:uiPriority w:val="99"/>
    <w:semiHidden/>
    <w:rsid w:val="00B82FBD"/>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BD"/>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B82FBD"/>
    <w:pPr>
      <w:snapToGrid w:val="0"/>
      <w:jc w:val="left"/>
    </w:pPr>
    <w:rPr>
      <w:sz w:val="18"/>
    </w:rPr>
  </w:style>
  <w:style w:type="character" w:customStyle="1" w:styleId="Char">
    <w:name w:val="脚注文本 Char"/>
    <w:basedOn w:val="a0"/>
    <w:link w:val="a3"/>
    <w:rsid w:val="00B82FBD"/>
    <w:rPr>
      <w:rFonts w:ascii="Calibri" w:eastAsia="宋体" w:hAnsi="Calibri" w:cs="黑体"/>
      <w:sz w:val="18"/>
    </w:rPr>
  </w:style>
  <w:style w:type="paragraph" w:styleId="a4">
    <w:name w:val="Normal (Web)"/>
    <w:basedOn w:val="a"/>
    <w:unhideWhenUsed/>
    <w:rsid w:val="00B82FBD"/>
    <w:pPr>
      <w:spacing w:before="100" w:beforeAutospacing="1" w:after="100" w:afterAutospacing="1"/>
      <w:jc w:val="left"/>
    </w:pPr>
    <w:rPr>
      <w:kern w:val="0"/>
      <w:sz w:val="24"/>
    </w:rPr>
  </w:style>
  <w:style w:type="character" w:styleId="a5">
    <w:name w:val="footnote reference"/>
    <w:basedOn w:val="a0"/>
    <w:unhideWhenUsed/>
    <w:rsid w:val="00B82FBD"/>
    <w:rPr>
      <w:vertAlign w:val="superscript"/>
    </w:rPr>
  </w:style>
  <w:style w:type="table" w:styleId="a6">
    <w:name w:val="Table Grid"/>
    <w:basedOn w:val="a1"/>
    <w:uiPriority w:val="39"/>
    <w:rsid w:val="00B82FB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 首行缩进:  2 字符"/>
    <w:basedOn w:val="a"/>
    <w:qFormat/>
    <w:rsid w:val="00B82FBD"/>
    <w:pPr>
      <w:ind w:firstLine="420"/>
    </w:pPr>
    <w:rPr>
      <w:rFonts w:ascii="Arial Unicode MS" w:eastAsia="方正书宋_GBK" w:hAnsi="Arial Unicode MS" w:cs="宋体"/>
      <w:szCs w:val="20"/>
    </w:rPr>
  </w:style>
  <w:style w:type="paragraph" w:styleId="a7">
    <w:name w:val="Balloon Text"/>
    <w:basedOn w:val="a"/>
    <w:link w:val="Char0"/>
    <w:uiPriority w:val="99"/>
    <w:semiHidden/>
    <w:unhideWhenUsed/>
    <w:rsid w:val="00B82FBD"/>
    <w:rPr>
      <w:sz w:val="18"/>
      <w:szCs w:val="18"/>
    </w:rPr>
  </w:style>
  <w:style w:type="character" w:customStyle="1" w:styleId="Char0">
    <w:name w:val="批注框文本 Char"/>
    <w:basedOn w:val="a0"/>
    <w:link w:val="a7"/>
    <w:uiPriority w:val="99"/>
    <w:semiHidden/>
    <w:rsid w:val="00B82FBD"/>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2021-01-08T03:05:00Z</dcterms:created>
  <dcterms:modified xsi:type="dcterms:W3CDTF">2021-01-08T03:06:00Z</dcterms:modified>
</cp:coreProperties>
</file>